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0"/>
        <w:widowControl w:val="false"/>
      </w:pPr>
      <w:r>
        <w:rPr>
          <w:rFonts w:ascii="Arial" w:cs="Arial" w:hAnsi="Arial"/>
          <w:sz w:val="22"/>
          <w:szCs w:val="22"/>
        </w:rPr>
        <w:t>To The Honourable</w:t>
      </w:r>
      <w:bookmarkStart w:id="0" w:name="_GoBack"/>
      <w:bookmarkEnd w:id="0"/>
      <w:r>
        <w:rPr>
          <w:rFonts w:ascii="Arial" w:cs="Arial" w:hAnsi="Arial"/>
          <w:sz w:val="22"/>
          <w:szCs w:val="22"/>
        </w:rPr>
        <w:t xml:space="preserve"> &lt;INSERT MP(s) NAME HERE&gt;</w:t>
      </w:r>
    </w:p>
    <w:p>
      <w:pPr>
        <w:pStyle w:val="style0"/>
        <w:widowControl w:val="false"/>
      </w:pPr>
      <w:r>
        <w:rPr/>
      </w:r>
    </w:p>
    <w:p>
      <w:pPr>
        <w:pStyle w:val="style0"/>
        <w:widowControl w:val="false"/>
      </w:pPr>
      <w:r>
        <w:rPr>
          <w:rFonts w:ascii="Arial" w:cs="Arial" w:hAnsi="Arial"/>
          <w:sz w:val="22"/>
          <w:szCs w:val="22"/>
          <w:lang w:eastAsia="ja-JP" w:val="en-US"/>
        </w:rPr>
        <w:t>I write to strongly encourage you to support the call for a NSW Upper House Select Committee Inquiry into the proposed WestConnex tollway. The State and Federal Governments are committing at least $11 billion to this project but as yet no business case and no cost-benefit analysis has been made available for public scrutiny. </w:t>
      </w:r>
    </w:p>
    <w:p>
      <w:pPr>
        <w:pStyle w:val="style0"/>
        <w:widowControl w:val="false"/>
      </w:pPr>
      <w:r>
        <w:rPr/>
      </w:r>
    </w:p>
    <w:p>
      <w:pPr>
        <w:pStyle w:val="style0"/>
        <w:widowControl w:val="false"/>
      </w:pPr>
      <w:r>
        <w:rPr>
          <w:rFonts w:ascii="Arial" w:cs="Arial" w:hAnsi="Arial"/>
          <w:bCs/>
          <w:sz w:val="22"/>
          <w:szCs w:val="22"/>
          <w:lang w:bidi="ar-SA" w:eastAsia="ja-JP" w:val="en-AU"/>
        </w:rPr>
        <w:t>In addition, despite repeated requests, the public</w:t>
      </w:r>
      <w:r>
        <w:rPr>
          <w:rFonts w:ascii="Arial" w:cs="Arial" w:hAnsi="Arial"/>
          <w:sz w:val="22"/>
          <w:szCs w:val="22"/>
          <w:lang w:bidi="ar-SA" w:eastAsia="ja-JP" w:val="en-AU"/>
        </w:rPr>
        <w:t> is being kept in the dark on traffic forecasts, preferred routes, traffic modelling and potential travel time savings, and the financing plans that should underpin a project of this magnitude.</w:t>
      </w:r>
    </w:p>
    <w:p>
      <w:pPr>
        <w:pStyle w:val="style0"/>
        <w:widowControl w:val="false"/>
      </w:pPr>
      <w:r>
        <w:rPr/>
      </w:r>
    </w:p>
    <w:p>
      <w:pPr>
        <w:pStyle w:val="style0"/>
        <w:widowControl w:val="false"/>
      </w:pPr>
      <w:r>
        <w:rPr>
          <w:rFonts w:ascii="Arial" w:cs="Arial" w:hAnsi="Arial"/>
          <w:sz w:val="22"/>
          <w:szCs w:val="22"/>
          <w:lang w:eastAsia="ja-JP" w:val="en-US"/>
        </w:rPr>
        <w:t>This continuing lack of disclosure is remarkable. Such information is fundamental to the project’s viability and the NSW Government’s reluctance to divulge it is of great concern. </w:t>
      </w:r>
    </w:p>
    <w:p>
      <w:pPr>
        <w:pStyle w:val="style0"/>
        <w:widowControl w:val="false"/>
      </w:pPr>
      <w:r>
        <w:rPr/>
      </w:r>
    </w:p>
    <w:p>
      <w:pPr>
        <w:pStyle w:val="style0"/>
        <w:widowControl w:val="false"/>
      </w:pPr>
      <w:r>
        <w:rPr>
          <w:rFonts w:ascii="Arial" w:cs="Arial" w:hAnsi="Arial"/>
          <w:sz w:val="22"/>
          <w:szCs w:val="22"/>
          <w:lang w:eastAsia="ja-JP" w:val="en-US"/>
        </w:rPr>
        <w:t>An Upper House Select Committee Inquiry would assist public understanding of WestConnex because the NSW Government’s partial release of documentation relating to it in March 2014 did not answer ongoing community questions. </w:t>
      </w:r>
    </w:p>
    <w:p>
      <w:pPr>
        <w:pStyle w:val="style0"/>
        <w:widowControl w:val="false"/>
      </w:pPr>
      <w:r>
        <w:rPr/>
      </w:r>
    </w:p>
    <w:p>
      <w:pPr>
        <w:pStyle w:val="style0"/>
        <w:widowControl w:val="false"/>
      </w:pPr>
      <w:r>
        <w:rPr>
          <w:rFonts w:ascii="Arial" w:cs="Arial" w:hAnsi="Arial"/>
          <w:sz w:val="22"/>
          <w:szCs w:val="22"/>
          <w:lang w:eastAsia="ja-JP" w:val="en-US"/>
        </w:rPr>
        <w:t>The public has a right to know about: </w:t>
      </w:r>
    </w:p>
    <w:p>
      <w:pPr>
        <w:pStyle w:val="style0"/>
        <w:widowControl w:val="false"/>
      </w:pPr>
      <w:r>
        <w:rPr/>
      </w:r>
    </w:p>
    <w:p>
      <w:pPr>
        <w:pStyle w:val="style25"/>
        <w:widowControl w:val="false"/>
        <w:numPr>
          <w:ilvl w:val="0"/>
          <w:numId w:val="1"/>
        </w:numPr>
      </w:pPr>
      <w:r>
        <w:rPr>
          <w:rFonts w:ascii="Arial" w:cs="Arial" w:hAnsi="Arial"/>
          <w:sz w:val="22"/>
          <w:szCs w:val="22"/>
          <w:lang w:eastAsia="ja-JP" w:val="en-US"/>
        </w:rPr>
        <w:t>The cost-benefit analysis and business case for WestConnex, compared to investment in alternative public transport options for Greater Sydney</w:t>
      </w:r>
    </w:p>
    <w:p>
      <w:pPr>
        <w:pStyle w:val="style25"/>
        <w:widowControl w:val="false"/>
        <w:numPr>
          <w:ilvl w:val="0"/>
          <w:numId w:val="1"/>
        </w:numPr>
      </w:pPr>
      <w:r>
        <w:rPr>
          <w:rFonts w:ascii="Arial" w:cs="Arial" w:hAnsi="Arial"/>
          <w:sz w:val="22"/>
          <w:szCs w:val="22"/>
          <w:lang w:bidi="ar-SA" w:eastAsia="ja-JP" w:val="en-AU"/>
        </w:rPr>
        <w:t>How proposed urban activation precincts along the WestConnex corridor will affect WestConnex’s traffic flow and numbers</w:t>
      </w:r>
    </w:p>
    <w:p>
      <w:pPr>
        <w:pStyle w:val="style25"/>
        <w:widowControl w:val="false"/>
        <w:numPr>
          <w:ilvl w:val="0"/>
          <w:numId w:val="1"/>
        </w:numPr>
      </w:pPr>
      <w:r>
        <w:rPr>
          <w:rFonts w:ascii="Arial" w:cs="Arial" w:hAnsi="Arial"/>
          <w:sz w:val="22"/>
          <w:szCs w:val="22"/>
          <w:lang w:eastAsia="ja-JP" w:val="en-US"/>
        </w:rPr>
        <w:t>How the environmental, recreational space and heritage impacts of WestConnex will affect the wider community</w:t>
      </w:r>
    </w:p>
    <w:p>
      <w:pPr>
        <w:pStyle w:val="style25"/>
        <w:widowControl w:val="false"/>
        <w:numPr>
          <w:ilvl w:val="0"/>
          <w:numId w:val="1"/>
        </w:numPr>
      </w:pPr>
      <w:r>
        <w:rPr>
          <w:rFonts w:ascii="Arial" w:cs="Arial" w:hAnsi="Arial"/>
          <w:sz w:val="22"/>
          <w:szCs w:val="22"/>
          <w:lang w:eastAsia="ja-JP" w:val="en-US"/>
        </w:rPr>
        <w:t>The relationship and integration with other existing road systems and public transport.</w:t>
      </w:r>
    </w:p>
    <w:p>
      <w:pPr>
        <w:pStyle w:val="style0"/>
        <w:widowControl w:val="false"/>
      </w:pPr>
      <w:r>
        <w:rPr/>
      </w:r>
    </w:p>
    <w:p>
      <w:pPr>
        <w:pStyle w:val="style0"/>
        <w:widowControl w:val="false"/>
      </w:pPr>
      <w:r>
        <w:rPr>
          <w:rFonts w:ascii="Arial" w:cs="Arial" w:hAnsi="Arial"/>
          <w:sz w:val="22"/>
          <w:szCs w:val="22"/>
          <w:lang w:eastAsia="ja-JP" w:val="en-US"/>
        </w:rPr>
        <w:t>I trust you share my concerns that so little information about the WestConnex project is being made available to the public while at the same</w:t>
      </w:r>
      <w:r>
        <w:rPr>
          <w:rFonts w:ascii="Arial" w:cs="Arial" w:hAnsi="Arial"/>
          <w:bCs/>
          <w:sz w:val="22"/>
          <w:szCs w:val="22"/>
          <w:lang w:eastAsia="ja-JP" w:val="en-US"/>
        </w:rPr>
        <w:t xml:space="preserve"> time</w:t>
      </w:r>
      <w:r>
        <w:rPr>
          <w:rFonts w:ascii="Arial" w:cs="Arial" w:hAnsi="Arial"/>
          <w:sz w:val="22"/>
          <w:szCs w:val="22"/>
          <w:lang w:eastAsia="ja-JP" w:val="en-US"/>
        </w:rPr>
        <w:t xml:space="preserve"> the project is being fast </w:t>
      </w:r>
      <w:r>
        <w:rPr>
          <w:rFonts w:ascii="Arial" w:cs="Arial" w:hAnsi="Arial"/>
          <w:bCs/>
          <w:sz w:val="22"/>
          <w:szCs w:val="22"/>
          <w:lang w:eastAsia="ja-JP" w:val="en-US"/>
        </w:rPr>
        <w:t>tracked. Please support</w:t>
      </w:r>
      <w:r>
        <w:rPr>
          <w:rFonts w:ascii="Arial" w:cs="Arial" w:hAnsi="Arial"/>
          <w:sz w:val="22"/>
          <w:szCs w:val="22"/>
          <w:lang w:eastAsia="ja-JP" w:val="en-US"/>
        </w:rPr>
        <w:t> the call for an Upper House Select Committee Inquiry into the WestConnex tollway.</w:t>
      </w:r>
    </w:p>
    <w:p>
      <w:pPr>
        <w:pStyle w:val="style0"/>
        <w:widowControl w:val="false"/>
      </w:pPr>
      <w:r>
        <w:rPr/>
      </w:r>
    </w:p>
    <w:p>
      <w:pPr>
        <w:pStyle w:val="style0"/>
      </w:pPr>
      <w:r>
        <w:rPr>
          <w:rFonts w:ascii="Arial" w:cs="Arial" w:hAnsi="Arial"/>
          <w:sz w:val="22"/>
          <w:szCs w:val="22"/>
          <w:lang w:eastAsia="ja-JP" w:val="en-US"/>
        </w:rPr>
        <w:t>Yours sincerely,</w:t>
      </w:r>
    </w:p>
    <w:p>
      <w:pPr>
        <w:pStyle w:val="style0"/>
      </w:pPr>
      <w:r>
        <w:rPr/>
      </w:r>
    </w:p>
    <w:p>
      <w:pPr>
        <w:pStyle w:val="style0"/>
      </w:pPr>
      <w:r>
        <w:rPr>
          <w:rFonts w:ascii="Arial" w:cs="Arial" w:hAnsi="Arial"/>
          <w:sz w:val="22"/>
          <w:szCs w:val="22"/>
          <w:lang w:eastAsia="ja-JP" w:val="en-US"/>
        </w:rPr>
        <w:t>&lt;YOUR NAME AND CONTACT DETIALS HERE&gt;</w:t>
      </w:r>
    </w:p>
    <w:sectPr>
      <w:type w:val="nextPage"/>
      <w:pgSz w:h="15840" w:w="12240"/>
      <w:pgMar w:bottom="1440" w:footer="0" w:gutter="0" w:header="0" w:left="1800" w:right="1800" w:top="1440"/>
      <w:pgNumType w:fmt="decimal"/>
      <w:formProt w:val="false"/>
      <w:textDirection w:val="lrTb"/>
      <w:docGrid w:charSpace="0" w:linePitch="240" w:type="default"/>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Courier New">
    <w:charset w:val="80"/>
    <w:family w:val="modern"/>
    <w:pitch w:val="fixed"/>
  </w:font>
  <w:font w:name="Wingdings">
    <w:charset w:val="02"/>
    <w:family w:val="auto"/>
    <w:pitch w:val="variable"/>
  </w:font>
</w:fonts>
</file>

<file path=word/numbering.xml><?xml version="1.0" encoding="utf-8"?>
<w:numbering xmlns:w="http://schemas.openxmlformats.org/wordprocessingml/2006/main">
  <w:abstractNum w:abstractNumId="1">
    <w:lvl w:ilvl="0">
      <w:start w:val="1"/>
      <w:numFmt w:val="bullet"/>
      <w:lvlText w:val=""/>
      <w:lvlJc w:val="left"/>
      <w:pPr>
        <w:ind w:hanging="360" w:left="720"/>
      </w:pPr>
      <w:rPr>
        <w:rFonts w:ascii="Symbol" w:cs="Symbol" w:hAnsi="Symbol" w:hint="default"/>
      </w:rPr>
    </w:lvl>
    <w:lvl w:ilvl="1">
      <w:start w:val="1"/>
      <w:numFmt w:val="bullet"/>
      <w:lvlText w:val="o"/>
      <w:lvlJc w:val="left"/>
      <w:pPr>
        <w:ind w:hanging="360" w:left="1440"/>
      </w:pPr>
      <w:rPr>
        <w:rFonts w:ascii="Courier New" w:cs="Courier New" w:hAnsi="Courier New" w:hint="default"/>
      </w:rPr>
    </w:lvl>
    <w:lvl w:ilvl="2">
      <w:start w:val="1"/>
      <w:numFmt w:val="bullet"/>
      <w:lvlText w:val=""/>
      <w:lvlJc w:val="left"/>
      <w:pPr>
        <w:ind w:hanging="360" w:left="2160"/>
      </w:pPr>
      <w:rPr>
        <w:rFonts w:ascii="Wingdings" w:cs="Wingdings" w:hAnsi="Wingdings" w:hint="default"/>
      </w:rPr>
    </w:lvl>
    <w:lvl w:ilvl="3">
      <w:start w:val="1"/>
      <w:numFmt w:val="bullet"/>
      <w:lvlText w:val=""/>
      <w:lvlJc w:val="left"/>
      <w:pPr>
        <w:ind w:hanging="360" w:left="2880"/>
      </w:pPr>
      <w:rPr>
        <w:rFonts w:ascii="Symbol" w:cs="Symbol" w:hAnsi="Symbol" w:hint="default"/>
      </w:rPr>
    </w:lvl>
    <w:lvl w:ilvl="4">
      <w:start w:val="1"/>
      <w:numFmt w:val="bullet"/>
      <w:lvlText w:val="o"/>
      <w:lvlJc w:val="left"/>
      <w:pPr>
        <w:ind w:hanging="360" w:left="3600"/>
      </w:pPr>
      <w:rPr>
        <w:rFonts w:ascii="Courier New" w:cs="Courier New" w:hAnsi="Courier New" w:hint="default"/>
      </w:rPr>
    </w:lvl>
    <w:lvl w:ilvl="5">
      <w:start w:val="1"/>
      <w:numFmt w:val="bullet"/>
      <w:lvlText w:val=""/>
      <w:lvlJc w:val="left"/>
      <w:pPr>
        <w:ind w:hanging="360" w:left="4320"/>
      </w:pPr>
      <w:rPr>
        <w:rFonts w:ascii="Wingdings" w:cs="Wingdings" w:hAnsi="Wingdings" w:hint="default"/>
      </w:rPr>
    </w:lvl>
    <w:lvl w:ilvl="6">
      <w:start w:val="1"/>
      <w:numFmt w:val="bullet"/>
      <w:lvlText w:val=""/>
      <w:lvlJc w:val="left"/>
      <w:pPr>
        <w:ind w:hanging="360" w:left="5040"/>
      </w:pPr>
      <w:rPr>
        <w:rFonts w:ascii="Symbol" w:cs="Symbol" w:hAnsi="Symbol" w:hint="default"/>
      </w:rPr>
    </w:lvl>
    <w:lvl w:ilvl="7">
      <w:start w:val="1"/>
      <w:numFmt w:val="bullet"/>
      <w:lvlText w:val="o"/>
      <w:lvlJc w:val="left"/>
      <w:pPr>
        <w:ind w:hanging="360" w:left="5760"/>
      </w:pPr>
      <w:rPr>
        <w:rFonts w:ascii="Courier New" w:cs="Courier New" w:hAnsi="Courier New" w:hint="default"/>
      </w:rPr>
    </w:lvl>
    <w:lvl w:ilvl="8">
      <w:start w:val="1"/>
      <w:numFmt w:val="bullet"/>
      <w:lvlText w:val=""/>
      <w:lvlJc w:val="left"/>
      <w:pPr>
        <w:ind w:hanging="360" w:left="6480"/>
      </w:pPr>
      <w:rPr>
        <w:rFonts w:ascii="Wingdings" w:cs="Wingdings" w:hAnsi="Wingdings" w:hint="default"/>
      </w:rPr>
    </w:lvl>
  </w:abstractNum>
  <w:abstractNum w:abstractNumId="2">
    <w:lvl w:ilvl="0">
      <w:start w:val="1"/>
      <w:numFmt w:val="none"/>
      <w:suff w:val="nothing"/>
      <w:lvlText w:val=""/>
      <w:lvlJc w:val="left"/>
      <w:pPr>
        <w:tabs>
          <w:tab w:pos="432" w:val="num"/>
        </w:tabs>
        <w:ind w:hanging="432" w:left="432"/>
      </w:pPr>
    </w:lvl>
    <w:lvl w:ilvl="1">
      <w:start w:val="1"/>
      <w:numFmt w:val="none"/>
      <w:suff w:val="nothing"/>
      <w:lvlText w:val=""/>
      <w:lvlJc w:val="left"/>
      <w:pPr>
        <w:tabs>
          <w:tab w:pos="576" w:val="num"/>
        </w:tabs>
        <w:ind w:hanging="576" w:left="576"/>
      </w:pPr>
    </w:lvl>
    <w:lvl w:ilvl="2">
      <w:start w:val="1"/>
      <w:numFmt w:val="none"/>
      <w:suff w:val="nothing"/>
      <w:lvlText w:val=""/>
      <w:lvlJc w:val="left"/>
      <w:pPr>
        <w:tabs>
          <w:tab w:pos="720" w:val="num"/>
        </w:tabs>
        <w:ind w:hanging="720" w:left="720"/>
      </w:pPr>
    </w:lvl>
    <w:lvl w:ilvl="3">
      <w:start w:val="1"/>
      <w:numFmt w:val="none"/>
      <w:suff w:val="nothing"/>
      <w:lvlText w:val=""/>
      <w:lvlJc w:val="left"/>
      <w:pPr>
        <w:tabs>
          <w:tab w:pos="864" w:val="num"/>
        </w:tabs>
        <w:ind w:hanging="864" w:left="864"/>
      </w:pPr>
    </w:lvl>
    <w:lvl w:ilvl="4">
      <w:start w:val="1"/>
      <w:numFmt w:val="none"/>
      <w:suff w:val="nothing"/>
      <w:lvlText w:val=""/>
      <w:lvlJc w:val="left"/>
      <w:pPr>
        <w:tabs>
          <w:tab w:pos="1008" w:val="num"/>
        </w:tabs>
        <w:ind w:hanging="1008" w:left="1008"/>
      </w:pPr>
    </w:lvl>
    <w:lvl w:ilvl="5">
      <w:start w:val="1"/>
      <w:numFmt w:val="none"/>
      <w:suff w:val="nothing"/>
      <w:lvlText w:val=""/>
      <w:lvlJc w:val="left"/>
      <w:pPr>
        <w:tabs>
          <w:tab w:pos="1152" w:val="num"/>
        </w:tabs>
        <w:ind w:hanging="1152" w:left="1152"/>
      </w:pPr>
    </w:lvl>
    <w:lvl w:ilvl="6">
      <w:start w:val="1"/>
      <w:numFmt w:val="none"/>
      <w:suff w:val="nothing"/>
      <w:lvlText w:val=""/>
      <w:lvlJc w:val="left"/>
      <w:pPr>
        <w:tabs>
          <w:tab w:pos="1296" w:val="num"/>
        </w:tabs>
        <w:ind w:hanging="1296" w:left="1296"/>
      </w:pPr>
    </w:lvl>
    <w:lvl w:ilvl="7">
      <w:start w:val="1"/>
      <w:numFmt w:val="none"/>
      <w:suff w:val="nothing"/>
      <w:lvlText w:val=""/>
      <w:lvlJc w:val="left"/>
      <w:pPr>
        <w:tabs>
          <w:tab w:pos="1440" w:val="num"/>
        </w:tabs>
        <w:ind w:hanging="1440" w:left="1440"/>
      </w:pPr>
    </w:lvl>
    <w:lvl w:ilvl="8">
      <w:start w:val="1"/>
      <w:numFmt w:val="none"/>
      <w:suff w:val="nothing"/>
      <w:lvlText w:val=""/>
      <w:lvlJc w:val="left"/>
      <w:pPr>
        <w:tabs>
          <w:tab w:pos="1584" w:val="num"/>
        </w:tabs>
        <w:ind w:hanging="1584" w:left="1584"/>
      </w:pPr>
    </w:lvl>
  </w:abstractNum>
  <w:num w:numId="1">
    <w:abstractNumId w:val="1"/>
  </w:num>
  <w:num w:numId="2">
    <w:abstractNumId w:val="2"/>
  </w:num>
</w:numbering>
</file>

<file path=word/styles.xml><?xml version="1.0" encoding="utf-8"?>
<w:styles xmlns:w="http://schemas.openxmlformats.org/wordprocessingml/2006/main">
  <w:style w:styleId="style0" w:type="paragraph">
    <w:name w:val="Normal"/>
    <w:next w:val="style0"/>
    <w:pPr>
      <w:widowControl/>
      <w:tabs>
        <w:tab w:leader="none" w:pos="720" w:val="left"/>
      </w:tabs>
      <w:suppressAutoHyphens w:val="true"/>
    </w:pPr>
    <w:rPr>
      <w:rFonts w:ascii="Times New Roman" w:cs="Times New Roman" w:eastAsia="SimSun" w:hAnsi="Times New Roman"/>
      <w:color w:val="00000A"/>
      <w:sz w:val="24"/>
      <w:szCs w:val="24"/>
      <w:lang w:bidi="ar-SA" w:eastAsia="en-US" w:val="en-AU"/>
    </w:rPr>
  </w:style>
  <w:style w:styleId="style15" w:type="character">
    <w:name w:val="Default Paragraph Font"/>
    <w:next w:val="style15"/>
    <w:rPr/>
  </w:style>
  <w:style w:styleId="style16" w:type="character">
    <w:name w:val="ListLabel 1"/>
    <w:next w:val="style16"/>
    <w:rPr>
      <w:rFonts w:cs="Arial"/>
    </w:rPr>
  </w:style>
  <w:style w:styleId="style17" w:type="character">
    <w:name w:val="ListLabel 2"/>
    <w:next w:val="style17"/>
    <w:rPr>
      <w:rFonts w:cs="Symbol"/>
    </w:rPr>
  </w:style>
  <w:style w:styleId="style18" w:type="character">
    <w:name w:val="ListLabel 3"/>
    <w:next w:val="style18"/>
    <w:rPr>
      <w:rFonts w:cs="Courier New"/>
    </w:rPr>
  </w:style>
  <w:style w:styleId="style19" w:type="character">
    <w:name w:val="ListLabel 4"/>
    <w:next w:val="style19"/>
    <w:rPr>
      <w:rFonts w:cs="Wingdings"/>
    </w:rPr>
  </w:style>
  <w:style w:styleId="style20" w:type="paragraph">
    <w:name w:val="Heading"/>
    <w:basedOn w:val="style0"/>
    <w:next w:val="style21"/>
    <w:pPr>
      <w:keepNext/>
      <w:spacing w:after="120" w:before="240"/>
    </w:pPr>
    <w:rPr>
      <w:rFonts w:ascii="Arial" w:cs="Mangal" w:eastAsia="Microsoft YaHei" w:hAnsi="Arial"/>
      <w:sz w:val="28"/>
      <w:szCs w:val="28"/>
    </w:rPr>
  </w:style>
  <w:style w:styleId="style21" w:type="paragraph">
    <w:name w:val="Text body"/>
    <w:basedOn w:val="style0"/>
    <w:next w:val="style21"/>
    <w:pPr>
      <w:spacing w:after="120" w:before="0"/>
    </w:pPr>
    <w:rPr/>
  </w:style>
  <w:style w:styleId="style22" w:type="paragraph">
    <w:name w:val="List"/>
    <w:basedOn w:val="style21"/>
    <w:next w:val="style22"/>
    <w:pPr/>
    <w:rPr>
      <w:rFonts w:cs="Mangal"/>
    </w:rPr>
  </w:style>
  <w:style w:styleId="style23" w:type="paragraph">
    <w:name w:val="Caption"/>
    <w:basedOn w:val="style0"/>
    <w:next w:val="style23"/>
    <w:pPr>
      <w:suppressLineNumbers/>
      <w:spacing w:after="120" w:before="120"/>
    </w:pPr>
    <w:rPr>
      <w:rFonts w:cs="Mangal"/>
      <w:i/>
      <w:iCs/>
      <w:sz w:val="24"/>
      <w:szCs w:val="24"/>
    </w:rPr>
  </w:style>
  <w:style w:styleId="style24" w:type="paragraph">
    <w:name w:val="Index"/>
    <w:basedOn w:val="style0"/>
    <w:next w:val="style24"/>
    <w:pPr>
      <w:suppressLineNumbers/>
    </w:pPr>
    <w:rPr>
      <w:rFonts w:cs="Mangal"/>
    </w:rPr>
  </w:style>
  <w:style w:styleId="style25" w:type="paragraph">
    <w:name w:val="List Paragraph"/>
    <w:basedOn w:val="style0"/>
    <w:next w:val="style25"/>
    <w:pPr>
      <w:ind w:hanging="0" w:left="720" w:right="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
</Relationships>
</file>

<file path=docProps/app.xml><?xml version="1.0" encoding="utf-8"?>
<Properties xmlns="http://schemas.openxmlformats.org/officeDocument/2006/extended-properties" xmlns:vt="http://schemas.openxmlformats.org/officeDocument/2006/docPropsVTypes">
  <Template>Normal.dotm</Template>
  <TotalTime>83</TotalTime>
  <Application>LibreOffice/3.5$Windows_x86 LibreOffice_project/165a79a-7059095-e13bb37-fef39a4-9503d18</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2014-05-24T09:35:00.00Z</dcterms:created>
  <dc:creator>Philip Le Masurier</dc:creator>
  <cp:lastModifiedBy>Philip Le Masurier</cp:lastModifiedBy>
  <dcterms:modified xsi:type="dcterms:W3CDTF">2014-05-28T21:01:00.00Z</dcterms:modified>
  <cp:revision>6</cp:revision>
</cp:coreProperties>
</file>